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bCs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附件2</w:t>
      </w:r>
    </w:p>
    <w:p>
      <w:pPr>
        <w:spacing w:line="360" w:lineRule="auto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习近平法治思想与国际法研讨会暨2021年学术年会</w:t>
      </w:r>
    </w:p>
    <w:p>
      <w:pPr>
        <w:spacing w:line="360" w:lineRule="auto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主题暨议题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宋体"/>
          <w:bCs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会议主题</w:t>
      </w:r>
    </w:p>
    <w:p>
      <w:pPr>
        <w:spacing w:line="360" w:lineRule="auto"/>
        <w:ind w:firstLine="480" w:firstLineChars="200"/>
        <w:rPr>
          <w:rFonts w:ascii="华文仿宋" w:hAnsi="华文仿宋" w:eastAsia="华文仿宋" w:cs="仿宋"/>
          <w:bCs/>
          <w:sz w:val="24"/>
          <w:szCs w:val="24"/>
        </w:rPr>
      </w:pPr>
      <w:r>
        <w:rPr>
          <w:rFonts w:hint="eastAsia" w:ascii="华文仿宋" w:hAnsi="华文仿宋" w:eastAsia="华文仿宋" w:cs="仿宋"/>
          <w:bCs/>
          <w:sz w:val="24"/>
          <w:szCs w:val="24"/>
        </w:rPr>
        <w:t>统筹推进国内法治和涉外法治：开启国际法研究运用新征程</w:t>
      </w:r>
    </w:p>
    <w:p>
      <w:pPr>
        <w:spacing w:line="360" w:lineRule="auto"/>
        <w:rPr>
          <w:rFonts w:ascii="黑体" w:hAnsi="黑体" w:eastAsia="黑体" w:cs="宋体"/>
          <w:bCs/>
          <w:sz w:val="24"/>
          <w:szCs w:val="24"/>
        </w:rPr>
      </w:pPr>
    </w:p>
    <w:p>
      <w:pPr>
        <w:spacing w:line="360" w:lineRule="auto"/>
        <w:rPr>
          <w:rFonts w:ascii="黑体" w:hAnsi="黑体" w:eastAsia="黑体" w:cs="仿宋"/>
          <w:bCs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会议议题：</w:t>
      </w:r>
    </w:p>
    <w:p>
      <w:pPr>
        <w:spacing w:line="360" w:lineRule="auto"/>
        <w:rPr>
          <w:rFonts w:ascii="黑体" w:hAnsi="黑体" w:eastAsia="黑体" w:cs="仿宋"/>
          <w:bCs/>
          <w:sz w:val="24"/>
          <w:szCs w:val="24"/>
        </w:rPr>
      </w:pPr>
      <w:r>
        <w:rPr>
          <w:rFonts w:hint="eastAsia" w:ascii="黑体" w:hAnsi="黑体" w:eastAsia="黑体" w:cs="仿宋"/>
          <w:bCs/>
          <w:sz w:val="24"/>
          <w:szCs w:val="24"/>
        </w:rPr>
        <w:t>第一部分：习近平法治思想与国际法研讨会议题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一、习近平法治思想的国际法观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二、加强涉外法治体系建设与国际法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三、运用国际法防范应对风险与挑战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四、人类命运共同体理念的国际法意义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五、通过国际法治推进全球治理体系变革和建设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六、加快涉外法治工作战略布局研究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七、国内法治与国际法治的关系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八、中国共产党对国际法的贡献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九、</w:t>
      </w:r>
      <w:r>
        <w:rPr>
          <w:rFonts w:hint="eastAsia" w:ascii="仿宋" w:hAnsi="仿宋" w:eastAsia="仿宋" w:cs="仿宋"/>
          <w:sz w:val="24"/>
          <w:szCs w:val="24"/>
        </w:rPr>
        <w:t>恢复联合国合法席位50周年：中国的国际法贡献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第二部分：中国国际法学会2021年学术年会议题</w:t>
      </w:r>
    </w:p>
    <w:p>
      <w:pPr>
        <w:spacing w:line="360" w:lineRule="auto"/>
        <w:rPr>
          <w:rFonts w:ascii="华文仿宋" w:hAnsi="华文仿宋" w:eastAsia="华文仿宋" w:cs="仿宋"/>
          <w:b/>
          <w:sz w:val="24"/>
          <w:szCs w:val="24"/>
        </w:rPr>
      </w:pPr>
      <w:r>
        <w:rPr>
          <w:rFonts w:hint="eastAsia" w:ascii="华文仿宋" w:hAnsi="华文仿宋" w:eastAsia="华文仿宋" w:cs="仿宋"/>
          <w:b/>
          <w:bCs/>
          <w:sz w:val="24"/>
          <w:szCs w:val="24"/>
        </w:rPr>
        <w:t>一、加强涉外法治体系建设与国际法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1.国际条约与国内法的关系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2.国家豁免制度新发展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3.国内法的域外适用与国际法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4.海牙国际私法会议“直接管辖权”项目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5.网络空间国际法的新动向和中国主张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争议海域与海上维权执法问题研究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.自由贸易港与自由贸易试验区的法治建设研究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.《民法典》实施后涉外民事关系法律适用法的变革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.加强涉外法治人才培养与国际法学科建设</w:t>
      </w:r>
    </w:p>
    <w:p>
      <w:pPr>
        <w:spacing w:line="360" w:lineRule="auto"/>
        <w:rPr>
          <w:rFonts w:ascii="华文仿宋" w:hAnsi="华文仿宋" w:eastAsia="华文仿宋" w:cs="仿宋"/>
          <w:b/>
          <w:sz w:val="24"/>
          <w:szCs w:val="24"/>
        </w:rPr>
      </w:pPr>
      <w:r>
        <w:rPr>
          <w:rFonts w:hint="eastAsia" w:ascii="华文仿宋" w:hAnsi="华文仿宋" w:eastAsia="华文仿宋" w:cs="仿宋"/>
          <w:b/>
          <w:bCs/>
          <w:sz w:val="24"/>
          <w:szCs w:val="24"/>
        </w:rPr>
        <w:t>二、运用国际法防范应对风险与挑战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1.国际争端的预防与解决机制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2.国际争端解决机制中的仲裁与调解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3.国际投资争端解决机制的改革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4.国际商事法院的新发展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5.新冠肺炎疫情与外交领事法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.单边制裁国际法问题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.防范“一带一路”法律风险问题研究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.国际法院等司法机构重要案例研究</w:t>
      </w:r>
    </w:p>
    <w:p>
      <w:pPr>
        <w:spacing w:line="360" w:lineRule="auto"/>
        <w:rPr>
          <w:rFonts w:ascii="华文仿宋" w:hAnsi="华文仿宋" w:eastAsia="华文仿宋" w:cs="仿宋"/>
          <w:b/>
          <w:sz w:val="24"/>
          <w:szCs w:val="24"/>
        </w:rPr>
      </w:pPr>
      <w:r>
        <w:rPr>
          <w:rFonts w:hint="eastAsia" w:ascii="华文仿宋" w:hAnsi="华文仿宋" w:eastAsia="华文仿宋" w:cs="仿宋"/>
          <w:b/>
          <w:bCs/>
          <w:sz w:val="24"/>
          <w:szCs w:val="24"/>
        </w:rPr>
        <w:t>三、人类命运共同体理念与全球治理体系变革</w:t>
      </w:r>
    </w:p>
    <w:p>
      <w:pPr>
        <w:spacing w:line="360" w:lineRule="auto"/>
        <w:ind w:left="240" w:hanging="240" w:hanging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1.全球公共卫生治理中的国际法问题(《国际卫生条例》修订、疫苗国际合作等问题(接种互认、公平分配、公共产品等)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2.新一轮国际经贸规则重构与中国应对(WT0改革等)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3.国际法委员会重要议题(强行法、官员豁免、海平面上升等)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4.外空治理的新形势和新问题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5.国际海底开发规章制度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6.BBNJ国际协定谈判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7.跨国公司供应链侵犯人权的立法规制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全球航空气候治理与国际航空法的新发展</w:t>
      </w:r>
    </w:p>
    <w:p>
      <w:pPr>
        <w:spacing w:line="360" w:lineRule="auto"/>
        <w:ind w:left="240" w:hanging="240" w:hanging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.气候变化与贸易(贸易自由化与边境碳税、区域或双边贸易中环境条款等)</w:t>
      </w:r>
    </w:p>
    <w:p>
      <w:pPr>
        <w:spacing w:line="360" w:lineRule="auto"/>
        <w:ind w:left="240" w:hanging="240" w:hanging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.全球生物多样性治理新动向(欧盟出台2030年生物多样性战略、2020年后全球生物多样性保护框架、海洋生物多样性保护等)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.应对中国加入RCEP与CPTPP研究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中欧投资协定与中国涉外经贸法律问题研究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中国批准2005年《海牙选择法院协议公约》和签署2019年《海牙判决公约》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研究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1710141890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t>7</w: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1710141890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t>7</w: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61867"/>
    <w:rsid w:val="2D261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2021-03-26T08:19:00Z</dcterms:created>
  <dc:creator>sifajingjifa</dc:creator>
  <cp:lastModifiedBy>sifajingjifa</cp:lastModifiedBy>
  <dcterms:modified xsi:type="dcterms:W3CDTF">2021-03-26T08:19:59Z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